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70" w:rsidRPr="00265632" w:rsidRDefault="00DD5F70" w:rsidP="00DD5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>КАК ИГРАТЬ С АГРЕССИВНЫМИ ДЕТЬМИ</w:t>
      </w:r>
    </w:p>
    <w:p w:rsidR="00DD5F70" w:rsidRPr="00265632" w:rsidRDefault="00DD5F70" w:rsidP="00DD5F70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 xml:space="preserve">На первых этапах работы с агрессивными детьми мы рекомендуем подбирать такие игры и упражнения, с помощью которых ребенок мог бы выплеснуть свой гнев. Существует мнение, что этот способ работы с детьми неэффективен и может вызвать еще большую агрессию. Как показывает многолетний опыт </w:t>
      </w:r>
      <w:r>
        <w:rPr>
          <w:rFonts w:ascii="Times New Roman" w:hAnsi="Times New Roman" w:cs="Times New Roman"/>
          <w:sz w:val="28"/>
          <w:szCs w:val="28"/>
        </w:rPr>
        <w:t>педагогов-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практиков </w:t>
      </w:r>
      <w:r w:rsidRPr="00265632">
        <w:rPr>
          <w:rFonts w:ascii="Times New Roman" w:hAnsi="Times New Roman" w:cs="Times New Roman"/>
          <w:sz w:val="28"/>
          <w:szCs w:val="28"/>
        </w:rPr>
        <w:t>проведения игровой терапии, на первых порах ребенок может стать более агрессивным (и мы всегда предупреждаем родителей об э</w:t>
      </w:r>
      <w:r>
        <w:rPr>
          <w:rFonts w:ascii="Times New Roman" w:hAnsi="Times New Roman" w:cs="Times New Roman"/>
          <w:sz w:val="28"/>
          <w:szCs w:val="28"/>
        </w:rPr>
        <w:t>том), но через 4—8 занятий, по-</w:t>
      </w:r>
      <w:r w:rsidRPr="00265632">
        <w:rPr>
          <w:rFonts w:ascii="Times New Roman" w:hAnsi="Times New Roman" w:cs="Times New Roman"/>
          <w:sz w:val="28"/>
          <w:szCs w:val="28"/>
        </w:rPr>
        <w:t>настоящему отреагировав свой гнев, «маленький агрессор» начинает вести себя более спокойно. Если педагогу трудно справиться с гневом ребенка, стоит обратиться к специалисту и вести работу параллельно с психологом.</w:t>
      </w:r>
    </w:p>
    <w:p w:rsidR="00DD5F70" w:rsidRPr="00265632" w:rsidRDefault="00DD5F70" w:rsidP="00DD5F70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 xml:space="preserve">Перечисленные ниже игры способствуют снижению вербальной и невербальной агрессии и являются одним из возможных способов </w:t>
      </w:r>
      <w:proofErr w:type="spellStart"/>
      <w:r w:rsidRPr="002656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6563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656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632">
        <w:rPr>
          <w:rFonts w:ascii="Times New Roman" w:hAnsi="Times New Roman" w:cs="Times New Roman"/>
          <w:sz w:val="28"/>
          <w:szCs w:val="28"/>
        </w:rPr>
        <w:t>гального</w:t>
      </w:r>
      <w:proofErr w:type="spellEnd"/>
      <w:r w:rsidRPr="00265632">
        <w:rPr>
          <w:rFonts w:ascii="Times New Roman" w:hAnsi="Times New Roman" w:cs="Times New Roman"/>
          <w:sz w:val="28"/>
          <w:szCs w:val="28"/>
        </w:rPr>
        <w:t xml:space="preserve"> выплескивания гнева: «</w:t>
      </w:r>
      <w:proofErr w:type="spellStart"/>
      <w:r w:rsidRPr="00265632">
        <w:rPr>
          <w:rFonts w:ascii="Times New Roman" w:hAnsi="Times New Roman" w:cs="Times New Roman"/>
          <w:sz w:val="28"/>
          <w:szCs w:val="28"/>
        </w:rPr>
        <w:t>Обзывалки</w:t>
      </w:r>
      <w:proofErr w:type="spellEnd"/>
      <w:r w:rsidRPr="00265632">
        <w:rPr>
          <w:rFonts w:ascii="Times New Roman" w:hAnsi="Times New Roman" w:cs="Times New Roman"/>
          <w:sz w:val="28"/>
          <w:szCs w:val="28"/>
        </w:rPr>
        <w:t>», «Два барана», «</w:t>
      </w:r>
      <w:proofErr w:type="spellStart"/>
      <w:r w:rsidRPr="00265632">
        <w:rPr>
          <w:rFonts w:ascii="Times New Roman" w:hAnsi="Times New Roman" w:cs="Times New Roman"/>
          <w:sz w:val="28"/>
          <w:szCs w:val="28"/>
        </w:rPr>
        <w:t>Толкалки</w:t>
      </w:r>
      <w:proofErr w:type="spellEnd"/>
      <w:r w:rsidRPr="0026563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65632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265632">
        <w:rPr>
          <w:rFonts w:ascii="Times New Roman" w:hAnsi="Times New Roman" w:cs="Times New Roman"/>
          <w:sz w:val="28"/>
          <w:szCs w:val="28"/>
        </w:rPr>
        <w:t>», «Рубка Яров», «Да и нет», «Тух-</w:t>
      </w:r>
      <w:proofErr w:type="spellStart"/>
      <w:r w:rsidRPr="00265632"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 w:rsidRPr="00265632">
        <w:rPr>
          <w:rFonts w:ascii="Times New Roman" w:hAnsi="Times New Roman" w:cs="Times New Roman"/>
          <w:sz w:val="28"/>
          <w:szCs w:val="28"/>
        </w:rPr>
        <w:t>-дух», «Ворвись в круг».</w:t>
      </w:r>
    </w:p>
    <w:p w:rsidR="00DD5F70" w:rsidRPr="00265632" w:rsidRDefault="00DD5F70" w:rsidP="00DD5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</w:t>
      </w:r>
      <w:r w:rsidRPr="00265632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>а Я. А. Павловой</w:t>
      </w:r>
      <w:r w:rsidRPr="00265632">
        <w:rPr>
          <w:rFonts w:ascii="Times New Roman" w:hAnsi="Times New Roman" w:cs="Times New Roman"/>
          <w:sz w:val="28"/>
          <w:szCs w:val="28"/>
        </w:rPr>
        <w:t xml:space="preserve"> педагогам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65632">
        <w:rPr>
          <w:rFonts w:ascii="Times New Roman" w:hAnsi="Times New Roman" w:cs="Times New Roman"/>
          <w:sz w:val="28"/>
          <w:szCs w:val="28"/>
        </w:rPr>
        <w:t xml:space="preserve">включать агрессивных детей в совместные игры с </w:t>
      </w:r>
      <w:proofErr w:type="gramStart"/>
      <w:r w:rsidRPr="00265632">
        <w:rPr>
          <w:rFonts w:ascii="Times New Roman" w:hAnsi="Times New Roman" w:cs="Times New Roman"/>
          <w:sz w:val="28"/>
          <w:szCs w:val="28"/>
        </w:rPr>
        <w:t>неагрессивными</w:t>
      </w:r>
      <w:proofErr w:type="gramEnd"/>
      <w:r w:rsidRPr="00265632">
        <w:rPr>
          <w:rFonts w:ascii="Times New Roman" w:hAnsi="Times New Roman" w:cs="Times New Roman"/>
          <w:sz w:val="28"/>
          <w:szCs w:val="28"/>
        </w:rPr>
        <w:t xml:space="preserve">. При этом воспитатель должен находиться рядом и в случае возникновения конфликта помочь ребятам разрешить его прямо на месте. С этой целью полезно провести групповое обсуждение события, которое привело к обострению отношений. Следующим шагом может стать совместное принятие решения о том, как наилучшим образом выйти из создавшегося положения. </w:t>
      </w:r>
      <w:proofErr w:type="gramStart"/>
      <w:r w:rsidRPr="00265632">
        <w:rPr>
          <w:rFonts w:ascii="Times New Roman" w:hAnsi="Times New Roman" w:cs="Times New Roman"/>
          <w:sz w:val="28"/>
          <w:szCs w:val="28"/>
        </w:rPr>
        <w:t>Выслушивая сверстников, агрессивные дети будут расширять свой поведенческий репертуар, а видя в процессе игры, как другие мальчики и девочки избегают конфликтов, как они реагируют на то, что кто-то другой, а не они, побеждает в игре, как отвечают на обидные слова или шутки сверстников, агрессивные дети понимают, что совсем не обязательно прибегать к физической силе, если хочешь чего-то добиться.</w:t>
      </w:r>
      <w:proofErr w:type="gramEnd"/>
      <w:r w:rsidRPr="00265632">
        <w:rPr>
          <w:rFonts w:ascii="Times New Roman" w:hAnsi="Times New Roman" w:cs="Times New Roman"/>
          <w:sz w:val="28"/>
          <w:szCs w:val="28"/>
        </w:rPr>
        <w:t xml:space="preserve"> С этой целью можно использовать такие игры, как «</w:t>
      </w:r>
      <w:proofErr w:type="spellStart"/>
      <w:r w:rsidRPr="00265632">
        <w:rPr>
          <w:rFonts w:ascii="Times New Roman" w:hAnsi="Times New Roman" w:cs="Times New Roman"/>
          <w:sz w:val="28"/>
          <w:szCs w:val="28"/>
        </w:rPr>
        <w:t>Головомяч</w:t>
      </w:r>
      <w:proofErr w:type="spellEnd"/>
      <w:r w:rsidRPr="00265632">
        <w:rPr>
          <w:rFonts w:ascii="Times New Roman" w:hAnsi="Times New Roman" w:cs="Times New Roman"/>
          <w:sz w:val="28"/>
          <w:szCs w:val="28"/>
        </w:rPr>
        <w:t>», «Камушек в ботинке», «Давайте поздороваемся», «Король», «Ласковые лапки» и другие.</w:t>
      </w:r>
    </w:p>
    <w:p w:rsidR="00DD5F70" w:rsidRPr="00265632" w:rsidRDefault="00DD5F70" w:rsidP="00DD5F70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2">
        <w:rPr>
          <w:rFonts w:ascii="Times New Roman" w:hAnsi="Times New Roman" w:cs="Times New Roman"/>
          <w:sz w:val="28"/>
          <w:szCs w:val="28"/>
        </w:rPr>
        <w:t>Для снятия излишнего мышечного напряжения можно использовать игры, способствующие релаксации, описание которых дается в главе «Как играть с тревожными детьми».</w:t>
      </w:r>
    </w:p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7F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4F7F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5F70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DNS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2018-06-04T11:16:00Z</dcterms:created>
  <dcterms:modified xsi:type="dcterms:W3CDTF">2018-06-04T11:17:00Z</dcterms:modified>
</cp:coreProperties>
</file>